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38" w:rsidRDefault="00206738" w:rsidP="00206738">
      <w:pPr>
        <w:jc w:val="center"/>
        <w:rPr>
          <w:b/>
        </w:rPr>
      </w:pPr>
      <w:r w:rsidRPr="002F0E9D">
        <w:rPr>
          <w:b/>
        </w:rPr>
        <w:t>Neglected Cemetery Account Grant</w:t>
      </w:r>
      <w:r w:rsidR="002F0E9D" w:rsidRPr="002F0E9D">
        <w:rPr>
          <w:b/>
        </w:rPr>
        <w:t xml:space="preserve">s </w:t>
      </w:r>
      <w:r w:rsidR="002F0E9D">
        <w:rPr>
          <w:b/>
        </w:rPr>
        <w:t>–</w:t>
      </w:r>
      <w:r w:rsidRPr="002F0E9D">
        <w:rPr>
          <w:b/>
        </w:rPr>
        <w:t xml:space="preserve"> </w:t>
      </w:r>
      <w:r w:rsidR="002F0E9D" w:rsidRPr="002F0E9D">
        <w:rPr>
          <w:b/>
        </w:rPr>
        <w:t>2018</w:t>
      </w:r>
    </w:p>
    <w:p w:rsidR="002F0E9D" w:rsidRPr="002F0E9D" w:rsidRDefault="002F0E9D" w:rsidP="00206738">
      <w:pPr>
        <w:jc w:val="center"/>
        <w:rPr>
          <w:b/>
        </w:rPr>
      </w:pPr>
      <w:r>
        <w:rPr>
          <w:b/>
        </w:rPr>
        <w:t xml:space="preserve">RFA RESULTS FOR </w:t>
      </w:r>
      <w:r w:rsidRPr="002F0E9D">
        <w:rPr>
          <w:b/>
        </w:rPr>
        <w:t>RFA#: OPM_CPIP_06012018</w:t>
      </w:r>
    </w:p>
    <w:p w:rsidR="00206738" w:rsidRDefault="00206738" w:rsidP="00CC4FE2"/>
    <w:p w:rsidR="00FF274D" w:rsidRDefault="00CC4FE2" w:rsidP="00CC4FE2">
      <w:r>
        <w:t xml:space="preserve">The following municipalities </w:t>
      </w:r>
      <w:r w:rsidR="002F0E9D">
        <w:t>(</w:t>
      </w:r>
      <w:r w:rsidR="004270DE">
        <w:t>“Grantees”</w:t>
      </w:r>
      <w:r w:rsidR="002F0E9D">
        <w:t xml:space="preserve">) </w:t>
      </w:r>
      <w:r>
        <w:t>have been selected to receive a</w:t>
      </w:r>
      <w:r w:rsidR="00206738">
        <w:t xml:space="preserve"> $2,500</w:t>
      </w:r>
      <w:r>
        <w:t xml:space="preserve"> Neglected Cemetery Account Grant, contingent upon the </w:t>
      </w:r>
      <w:r w:rsidR="002F0E9D">
        <w:t xml:space="preserve">successful submission and approval </w:t>
      </w:r>
      <w:r>
        <w:t xml:space="preserve">of required contractual documents.  Such grants will commence upon full </w:t>
      </w:r>
      <w:r w:rsidR="00206738">
        <w:t xml:space="preserve">contract </w:t>
      </w:r>
      <w:r>
        <w:t>execution by both grantor and grantee, and such grants will terminate 24 months from the date of execution.</w:t>
      </w:r>
      <w:r w:rsidR="00206738">
        <w:t xml:space="preserve">  </w:t>
      </w:r>
    </w:p>
    <w:p w:rsidR="00206738" w:rsidRDefault="002F0E9D" w:rsidP="00CC4FE2">
      <w:r>
        <w:t xml:space="preserve">It is the sole responsibility of each potential Grantee to ensure it has a fully executed grant contract </w:t>
      </w:r>
      <w:r w:rsidR="00EA0E1C">
        <w:t xml:space="preserve">in </w:t>
      </w:r>
      <w:bookmarkStart w:id="0" w:name="_GoBack"/>
      <w:bookmarkEnd w:id="0"/>
      <w:r w:rsidR="00EA0E1C">
        <w:t xml:space="preserve">place </w:t>
      </w:r>
      <w:r>
        <w:t>before incurring any grant-related expenditures. Failure to adhere to this condition</w:t>
      </w:r>
      <w:r w:rsidR="004270DE">
        <w:t>, or the General Grant Conditions,</w:t>
      </w:r>
      <w:r>
        <w:t xml:space="preserve"> will result in the rejection of any reimbursement requests for expenditures outside of the terms of the grant.</w:t>
      </w:r>
    </w:p>
    <w:tbl>
      <w:tblPr>
        <w:tblW w:w="4855" w:type="dxa"/>
        <w:jc w:val="center"/>
        <w:tblLook w:val="04A0" w:firstRow="1" w:lastRow="0" w:firstColumn="1" w:lastColumn="0" w:noHBand="0" w:noVBand="1"/>
      </w:tblPr>
      <w:tblGrid>
        <w:gridCol w:w="1615"/>
        <w:gridCol w:w="270"/>
        <w:gridCol w:w="1440"/>
        <w:gridCol w:w="270"/>
        <w:gridCol w:w="1260"/>
      </w:tblGrid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Andover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Griswold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Berlin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Guilford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Pomfret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Bethlehem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Haddam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Ridgefield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Bloomfield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Killingworth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Rocky Hill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Burlington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Lebanon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Salisbury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Canterbury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Scotland</w:t>
            </w:r>
          </w:p>
        </w:tc>
      </w:tr>
      <w:tr w:rsidR="00206738" w:rsidRPr="00206738" w:rsidTr="002F0E9D">
        <w:trPr>
          <w:trHeight w:val="315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Chaplin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Mansfield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Sprague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Columbia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Marlborough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Stafford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Cromwell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Meriden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Sterling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East Hartford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Middlefield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Eastford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New Canaan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Tolland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Easton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New London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Union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Ellington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New Milford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Weston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Fairfield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Newtown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Wilton</w:t>
            </w: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Glastonbury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738" w:rsidRPr="00206738" w:rsidTr="002F0E9D">
        <w:trPr>
          <w:trHeight w:val="288"/>
          <w:jc w:val="center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38">
              <w:rPr>
                <w:rFonts w:ascii="Calibri" w:eastAsia="Times New Roman" w:hAnsi="Calibri" w:cs="Times New Roman"/>
                <w:color w:val="000000"/>
              </w:rPr>
              <w:t>Goshen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06738" w:rsidRPr="00206738" w:rsidRDefault="00206738" w:rsidP="0020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738" w:rsidRPr="00CC4FE2" w:rsidRDefault="00206738" w:rsidP="00CC4FE2"/>
    <w:sectPr w:rsidR="00206738" w:rsidRPr="00CC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2"/>
    <w:rsid w:val="00206738"/>
    <w:rsid w:val="002F0E9D"/>
    <w:rsid w:val="004270DE"/>
    <w:rsid w:val="00CC4FE2"/>
    <w:rsid w:val="00EA0E1C"/>
    <w:rsid w:val="00FA6551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2EC0D-89CC-44F3-9EEE-AD796CC3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6103A617.dotm</Template>
  <TotalTime>0</TotalTime>
  <Pages>1</Pages>
  <Words>187</Words>
  <Characters>1071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dcterms:created xsi:type="dcterms:W3CDTF">2018-08-22T15:18:00Z</dcterms:created>
  <dcterms:modified xsi:type="dcterms:W3CDTF">2018-08-22T15:18:00Z</dcterms:modified>
</cp:coreProperties>
</file>