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8"/>
        <w:gridCol w:w="1080"/>
        <w:gridCol w:w="4500"/>
        <w:gridCol w:w="1890"/>
        <w:gridCol w:w="1800"/>
        <w:gridCol w:w="1260"/>
      </w:tblGrid>
      <w:tr w:rsidR="008C354B" w:rsidRPr="00F019B1" w:rsidTr="00E44523">
        <w:tc>
          <w:tcPr>
            <w:tcW w:w="1458" w:type="dxa"/>
            <w:shd w:val="clear" w:color="auto" w:fill="FABF8F" w:themeFill="accent6" w:themeFillTint="99"/>
            <w:vAlign w:val="center"/>
          </w:tcPr>
          <w:p w:rsidR="008C354B" w:rsidRPr="00F019B1" w:rsidRDefault="008C354B" w:rsidP="00E44523">
            <w:pPr>
              <w:jc w:val="center"/>
              <w:rPr>
                <w:b/>
              </w:rPr>
            </w:pPr>
            <w:r w:rsidRPr="00F019B1">
              <w:rPr>
                <w:b/>
              </w:rPr>
              <w:t>Meeting Date</w:t>
            </w:r>
          </w:p>
        </w:tc>
        <w:tc>
          <w:tcPr>
            <w:tcW w:w="1080" w:type="dxa"/>
            <w:shd w:val="clear" w:color="auto" w:fill="FABF8F" w:themeFill="accent6" w:themeFillTint="99"/>
            <w:vAlign w:val="center"/>
          </w:tcPr>
          <w:p w:rsidR="008C354B" w:rsidRPr="00F019B1" w:rsidRDefault="008C354B" w:rsidP="00E44523">
            <w:pPr>
              <w:jc w:val="center"/>
              <w:rPr>
                <w:b/>
              </w:rPr>
            </w:pPr>
            <w:r>
              <w:rPr>
                <w:b/>
              </w:rPr>
              <w:t xml:space="preserve">Meeting </w:t>
            </w:r>
            <w:r w:rsidRPr="00F019B1">
              <w:rPr>
                <w:b/>
              </w:rPr>
              <w:t>Type</w:t>
            </w:r>
          </w:p>
        </w:tc>
        <w:tc>
          <w:tcPr>
            <w:tcW w:w="4500" w:type="dxa"/>
            <w:shd w:val="clear" w:color="auto" w:fill="FABF8F" w:themeFill="accent6" w:themeFillTint="99"/>
            <w:vAlign w:val="center"/>
          </w:tcPr>
          <w:p w:rsidR="008C354B" w:rsidRPr="00F019B1" w:rsidRDefault="008C354B" w:rsidP="00E44523">
            <w:pPr>
              <w:jc w:val="center"/>
              <w:rPr>
                <w:b/>
              </w:rPr>
            </w:pPr>
            <w:r w:rsidRPr="00F019B1">
              <w:rPr>
                <w:b/>
              </w:rPr>
              <w:t>Motion</w:t>
            </w:r>
          </w:p>
        </w:tc>
        <w:tc>
          <w:tcPr>
            <w:tcW w:w="1890" w:type="dxa"/>
            <w:shd w:val="clear" w:color="auto" w:fill="FABF8F" w:themeFill="accent6" w:themeFillTint="99"/>
            <w:vAlign w:val="center"/>
          </w:tcPr>
          <w:p w:rsidR="008C354B" w:rsidRPr="00F019B1" w:rsidRDefault="008C354B" w:rsidP="00E44523">
            <w:pPr>
              <w:jc w:val="center"/>
              <w:rPr>
                <w:b/>
              </w:rPr>
            </w:pPr>
            <w:r w:rsidRPr="00F019B1">
              <w:rPr>
                <w:b/>
              </w:rPr>
              <w:t>Motion Made By</w:t>
            </w:r>
          </w:p>
        </w:tc>
        <w:tc>
          <w:tcPr>
            <w:tcW w:w="1800" w:type="dxa"/>
            <w:shd w:val="clear" w:color="auto" w:fill="FABF8F" w:themeFill="accent6" w:themeFillTint="99"/>
            <w:vAlign w:val="center"/>
          </w:tcPr>
          <w:p w:rsidR="008C354B" w:rsidRPr="00F019B1" w:rsidRDefault="008C354B" w:rsidP="00E44523">
            <w:pPr>
              <w:jc w:val="center"/>
              <w:rPr>
                <w:b/>
              </w:rPr>
            </w:pPr>
            <w:r w:rsidRPr="00F019B1">
              <w:rPr>
                <w:b/>
              </w:rPr>
              <w:t>Seconded By</w:t>
            </w:r>
          </w:p>
        </w:tc>
        <w:tc>
          <w:tcPr>
            <w:tcW w:w="1260" w:type="dxa"/>
            <w:shd w:val="clear" w:color="auto" w:fill="FABF8F" w:themeFill="accent6" w:themeFillTint="99"/>
            <w:vAlign w:val="center"/>
          </w:tcPr>
          <w:p w:rsidR="008C354B" w:rsidRPr="00F019B1" w:rsidRDefault="008C354B" w:rsidP="00E44523">
            <w:pPr>
              <w:jc w:val="center"/>
              <w:rPr>
                <w:b/>
              </w:rPr>
            </w:pPr>
            <w:r>
              <w:rPr>
                <w:b/>
              </w:rPr>
              <w:t>Decision</w:t>
            </w:r>
          </w:p>
        </w:tc>
      </w:tr>
      <w:tr w:rsidR="008C354B" w:rsidRPr="00A140FD" w:rsidTr="00E44523">
        <w:tc>
          <w:tcPr>
            <w:tcW w:w="1458" w:type="dxa"/>
            <w:vAlign w:val="center"/>
          </w:tcPr>
          <w:p w:rsidR="008C354B" w:rsidRPr="00A140FD" w:rsidRDefault="008C354B" w:rsidP="008C354B">
            <w:r>
              <w:t>11/6/2014</w:t>
            </w:r>
          </w:p>
        </w:tc>
        <w:tc>
          <w:tcPr>
            <w:tcW w:w="1080" w:type="dxa"/>
            <w:vAlign w:val="center"/>
          </w:tcPr>
          <w:p w:rsidR="008C354B" w:rsidRPr="00A140FD" w:rsidRDefault="008C354B" w:rsidP="00E44523">
            <w:pPr>
              <w:jc w:val="center"/>
            </w:pPr>
            <w:r w:rsidRPr="00A140FD">
              <w:t>Special</w:t>
            </w:r>
          </w:p>
        </w:tc>
        <w:tc>
          <w:tcPr>
            <w:tcW w:w="4500" w:type="dxa"/>
            <w:vAlign w:val="center"/>
          </w:tcPr>
          <w:p w:rsidR="008C354B" w:rsidRPr="00A140FD" w:rsidRDefault="008C354B" w:rsidP="00E44523">
            <w:r>
              <w:t>To accept the minutes from the October 22, 2014 Special Meeting</w:t>
            </w:r>
          </w:p>
        </w:tc>
        <w:tc>
          <w:tcPr>
            <w:tcW w:w="1890" w:type="dxa"/>
            <w:vAlign w:val="center"/>
          </w:tcPr>
          <w:p w:rsidR="008C354B" w:rsidRPr="00A140FD" w:rsidRDefault="008C354B" w:rsidP="00E44523">
            <w:pPr>
              <w:jc w:val="center"/>
            </w:pPr>
            <w:r>
              <w:t>Robert Scalettar</w:t>
            </w:r>
          </w:p>
        </w:tc>
        <w:tc>
          <w:tcPr>
            <w:tcW w:w="1800" w:type="dxa"/>
            <w:vAlign w:val="center"/>
          </w:tcPr>
          <w:p w:rsidR="008C354B" w:rsidRPr="00A140FD" w:rsidRDefault="008C354B" w:rsidP="00E44523">
            <w:pPr>
              <w:jc w:val="center"/>
            </w:pPr>
            <w:r>
              <w:t>Vicki Veltri</w:t>
            </w:r>
          </w:p>
        </w:tc>
        <w:tc>
          <w:tcPr>
            <w:tcW w:w="1260" w:type="dxa"/>
            <w:vAlign w:val="center"/>
          </w:tcPr>
          <w:p w:rsidR="008C354B" w:rsidRPr="00A140FD" w:rsidRDefault="008C354B" w:rsidP="00E44523">
            <w:pPr>
              <w:jc w:val="center"/>
            </w:pPr>
            <w:r>
              <w:t>Passed</w:t>
            </w:r>
          </w:p>
        </w:tc>
      </w:tr>
      <w:tr w:rsidR="008C354B" w:rsidRPr="00A140FD" w:rsidTr="008C354B">
        <w:tc>
          <w:tcPr>
            <w:tcW w:w="1458" w:type="dxa"/>
          </w:tcPr>
          <w:p w:rsidR="008C354B" w:rsidRDefault="008C354B" w:rsidP="00E44523">
            <w:r w:rsidRPr="000C6411">
              <w:t>11/6/2014</w:t>
            </w:r>
          </w:p>
        </w:tc>
        <w:tc>
          <w:tcPr>
            <w:tcW w:w="1080" w:type="dxa"/>
          </w:tcPr>
          <w:p w:rsidR="008C354B" w:rsidRPr="00A140FD" w:rsidRDefault="008C354B" w:rsidP="00E44523">
            <w:pPr>
              <w:jc w:val="center"/>
            </w:pPr>
            <w:r>
              <w:t>Special</w:t>
            </w:r>
          </w:p>
        </w:tc>
        <w:tc>
          <w:tcPr>
            <w:tcW w:w="4500" w:type="dxa"/>
            <w:vAlign w:val="center"/>
          </w:tcPr>
          <w:p w:rsidR="008C354B" w:rsidRPr="00A140FD" w:rsidRDefault="008C354B" w:rsidP="00E44523">
            <w:r w:rsidRPr="00A140FD">
              <w:t>To go into Executive Session Pursuant to Section 1-200(6)(</w:t>
            </w:r>
            <w:r>
              <w:t>E</w:t>
            </w:r>
            <w:r w:rsidRPr="00A140FD">
              <w:t xml:space="preserve">) </w:t>
            </w:r>
            <w:r>
              <w:t xml:space="preserve">and 210(b)(1) </w:t>
            </w:r>
            <w:r w:rsidRPr="00A140FD">
              <w:t>of the Connecticut General Statutes</w:t>
            </w:r>
          </w:p>
          <w:p w:rsidR="008C354B" w:rsidRPr="00A140FD" w:rsidRDefault="008C354B" w:rsidP="00E44523"/>
        </w:tc>
        <w:tc>
          <w:tcPr>
            <w:tcW w:w="1890" w:type="dxa"/>
          </w:tcPr>
          <w:p w:rsidR="008C354B" w:rsidRPr="00A140FD" w:rsidRDefault="008C354B" w:rsidP="008C354B">
            <w:pPr>
              <w:jc w:val="center"/>
            </w:pPr>
            <w:r>
              <w:t>Maura Carley</w:t>
            </w:r>
          </w:p>
        </w:tc>
        <w:tc>
          <w:tcPr>
            <w:tcW w:w="1800" w:type="dxa"/>
          </w:tcPr>
          <w:p w:rsidR="008C354B" w:rsidRPr="00A140FD" w:rsidRDefault="008C354B" w:rsidP="008C354B">
            <w:pPr>
              <w:jc w:val="center"/>
            </w:pPr>
            <w:r>
              <w:t>Vicki Veltri</w:t>
            </w:r>
          </w:p>
        </w:tc>
        <w:tc>
          <w:tcPr>
            <w:tcW w:w="1260" w:type="dxa"/>
          </w:tcPr>
          <w:p w:rsidR="008C354B" w:rsidRPr="00A140FD" w:rsidRDefault="008C354B" w:rsidP="008C354B">
            <w:pPr>
              <w:jc w:val="center"/>
            </w:pPr>
            <w:r>
              <w:t>Passed</w:t>
            </w:r>
          </w:p>
        </w:tc>
      </w:tr>
      <w:tr w:rsidR="008C354B" w:rsidRPr="00A140FD" w:rsidTr="00E44523">
        <w:tc>
          <w:tcPr>
            <w:tcW w:w="1458" w:type="dxa"/>
          </w:tcPr>
          <w:p w:rsidR="008C354B" w:rsidRDefault="008C354B" w:rsidP="00E44523">
            <w:r w:rsidRPr="000C6411">
              <w:t>11/6/2014</w:t>
            </w:r>
          </w:p>
        </w:tc>
        <w:tc>
          <w:tcPr>
            <w:tcW w:w="1080" w:type="dxa"/>
          </w:tcPr>
          <w:p w:rsidR="008C354B" w:rsidRPr="00A140FD" w:rsidRDefault="008C354B" w:rsidP="00E44523">
            <w:pPr>
              <w:jc w:val="center"/>
            </w:pPr>
            <w:r>
              <w:t>Special</w:t>
            </w:r>
          </w:p>
        </w:tc>
        <w:tc>
          <w:tcPr>
            <w:tcW w:w="4500" w:type="dxa"/>
            <w:vAlign w:val="center"/>
          </w:tcPr>
          <w:p w:rsidR="008C354B" w:rsidRPr="004E02ED" w:rsidRDefault="008C354B" w:rsidP="00E44523">
            <w:pPr>
              <w:pStyle w:val="PlainText"/>
            </w:pPr>
            <w:r>
              <w:t>T</w:t>
            </w:r>
            <w:r w:rsidRPr="004E02ED">
              <w:t>o recommend to the Board of Directors the following incentive compensation plan, to attract and retain qualified Exchange employees:</w:t>
            </w:r>
            <w:r>
              <w:t xml:space="preserve">  </w:t>
            </w:r>
            <w:r w:rsidRPr="004E02ED">
              <w:t>All exempt and nonexempt employees on staff at AHCT as of the date of this vote, who successfully completed their three month probationary period as described in the Employee handbook by June 30, 2014 and who have remained in good standing with no performance issues to this date, shall receive an incentive compensation bonus of six (6) percent of their annual salary as reported on the Exchange’s records as of June 30, 2014;  such bonus is to be calculated on a pro rata basis for months of service in the period July 1, 2013 through June 30, 2014 with full credit given for a month of service for those employees who were on staff between the first and fifteenth day of the month and a half month’s credit of service given to those employees who were only on staff between the sixteenth and last day of the month.</w:t>
            </w:r>
          </w:p>
          <w:p w:rsidR="008C354B" w:rsidRPr="004E02ED" w:rsidRDefault="008C354B" w:rsidP="00E44523"/>
        </w:tc>
        <w:tc>
          <w:tcPr>
            <w:tcW w:w="1890" w:type="dxa"/>
          </w:tcPr>
          <w:p w:rsidR="008C354B" w:rsidRPr="00A140FD" w:rsidRDefault="008C354B" w:rsidP="00E44523">
            <w:pPr>
              <w:jc w:val="center"/>
            </w:pPr>
            <w:r>
              <w:t>Vicki Veltri</w:t>
            </w:r>
          </w:p>
        </w:tc>
        <w:tc>
          <w:tcPr>
            <w:tcW w:w="1800" w:type="dxa"/>
          </w:tcPr>
          <w:p w:rsidR="008C354B" w:rsidRPr="00A140FD" w:rsidRDefault="008C354B" w:rsidP="00E44523">
            <w:pPr>
              <w:jc w:val="center"/>
            </w:pPr>
            <w:r>
              <w:t>Maura Carley</w:t>
            </w:r>
          </w:p>
        </w:tc>
        <w:tc>
          <w:tcPr>
            <w:tcW w:w="1260" w:type="dxa"/>
          </w:tcPr>
          <w:p w:rsidR="008C354B" w:rsidRPr="00A140FD" w:rsidRDefault="008C354B" w:rsidP="00E44523">
            <w:pPr>
              <w:jc w:val="center"/>
            </w:pPr>
            <w:r>
              <w:t>Passed</w:t>
            </w:r>
          </w:p>
        </w:tc>
      </w:tr>
      <w:tr w:rsidR="00E21704" w:rsidRPr="00A140FD" w:rsidTr="00E44523">
        <w:tc>
          <w:tcPr>
            <w:tcW w:w="1458" w:type="dxa"/>
          </w:tcPr>
          <w:p w:rsidR="00E21704" w:rsidRPr="000C6411" w:rsidRDefault="00E21704" w:rsidP="00E44523">
            <w:r>
              <w:t>11/6/2014</w:t>
            </w:r>
          </w:p>
        </w:tc>
        <w:tc>
          <w:tcPr>
            <w:tcW w:w="1080" w:type="dxa"/>
          </w:tcPr>
          <w:p w:rsidR="00E21704" w:rsidRDefault="00E21704" w:rsidP="00E44523">
            <w:pPr>
              <w:jc w:val="center"/>
            </w:pPr>
            <w:r>
              <w:t>Special</w:t>
            </w:r>
          </w:p>
        </w:tc>
        <w:tc>
          <w:tcPr>
            <w:tcW w:w="4500" w:type="dxa"/>
            <w:vAlign w:val="center"/>
          </w:tcPr>
          <w:p w:rsidR="00E21704" w:rsidRDefault="00E21704" w:rsidP="00E44523">
            <w:pPr>
              <w:pStyle w:val="PlainText"/>
            </w:pPr>
            <w:r>
              <w:t>Adjournment</w:t>
            </w:r>
            <w:bookmarkStart w:id="0" w:name="_GoBack"/>
            <w:bookmarkEnd w:id="0"/>
          </w:p>
        </w:tc>
        <w:tc>
          <w:tcPr>
            <w:tcW w:w="1890" w:type="dxa"/>
          </w:tcPr>
          <w:p w:rsidR="00E21704" w:rsidRDefault="00E21704" w:rsidP="00E44523">
            <w:pPr>
              <w:jc w:val="center"/>
            </w:pPr>
          </w:p>
        </w:tc>
        <w:tc>
          <w:tcPr>
            <w:tcW w:w="1800" w:type="dxa"/>
          </w:tcPr>
          <w:p w:rsidR="00E21704" w:rsidRDefault="00E21704" w:rsidP="00E44523">
            <w:pPr>
              <w:jc w:val="center"/>
            </w:pPr>
          </w:p>
        </w:tc>
        <w:tc>
          <w:tcPr>
            <w:tcW w:w="1260" w:type="dxa"/>
          </w:tcPr>
          <w:p w:rsidR="00E21704" w:rsidRDefault="00E21704" w:rsidP="00E44523">
            <w:pPr>
              <w:jc w:val="center"/>
            </w:pPr>
          </w:p>
        </w:tc>
      </w:tr>
    </w:tbl>
    <w:p w:rsidR="008C354B" w:rsidRPr="00A140FD" w:rsidRDefault="008C354B" w:rsidP="008C354B"/>
    <w:p w:rsidR="001F37A9" w:rsidRDefault="001F37A9"/>
    <w:sectPr w:rsidR="001F37A9" w:rsidSect="00F019B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8E" w:rsidRDefault="000B208E">
      <w:pPr>
        <w:spacing w:after="0" w:line="240" w:lineRule="auto"/>
      </w:pPr>
      <w:r>
        <w:separator/>
      </w:r>
    </w:p>
  </w:endnote>
  <w:endnote w:type="continuationSeparator" w:id="0">
    <w:p w:rsidR="000B208E" w:rsidRDefault="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8E" w:rsidRDefault="000B208E">
      <w:pPr>
        <w:spacing w:after="0" w:line="240" w:lineRule="auto"/>
      </w:pPr>
      <w:r>
        <w:separator/>
      </w:r>
    </w:p>
  </w:footnote>
  <w:footnote w:type="continuationSeparator" w:id="0">
    <w:p w:rsidR="000B208E" w:rsidRDefault="000B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B1" w:rsidRPr="00F019B1" w:rsidRDefault="000B208E" w:rsidP="00990AF8">
    <w:pPr>
      <w:pStyle w:val="Header"/>
      <w:jc w:val="center"/>
      <w:rPr>
        <w:b/>
      </w:rPr>
    </w:pPr>
    <w:r w:rsidRPr="00F019B1">
      <w:rPr>
        <w:b/>
        <w:noProof/>
      </w:rPr>
      <w:t>Connecticut Health Insurance Exchange</w:t>
    </w:r>
    <w:r>
      <w:rPr>
        <w:b/>
        <w:noProof/>
      </w:rPr>
      <w:t xml:space="preserve"> (dba Access Health CT)</w:t>
    </w:r>
    <w:r w:rsidRPr="00F019B1">
      <w:rPr>
        <w:b/>
        <w:noProof/>
      </w:rPr>
      <w:br/>
    </w:r>
    <w:r>
      <w:rPr>
        <w:b/>
        <w:noProof/>
      </w:rPr>
      <w:t>Human Resources</w:t>
    </w:r>
    <w:r w:rsidRPr="00F019B1">
      <w:rPr>
        <w:b/>
        <w:noProof/>
      </w:rPr>
      <w:t xml:space="preserve"> Subcommittee Record of Votes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4B"/>
    <w:rsid w:val="000B208E"/>
    <w:rsid w:val="001F37A9"/>
    <w:rsid w:val="008C354B"/>
    <w:rsid w:val="00E2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4B"/>
  </w:style>
  <w:style w:type="paragraph" w:styleId="PlainText">
    <w:name w:val="Plain Text"/>
    <w:basedOn w:val="Normal"/>
    <w:link w:val="PlainTextChar"/>
    <w:uiPriority w:val="99"/>
    <w:semiHidden/>
    <w:unhideWhenUsed/>
    <w:rsid w:val="008C35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5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4B"/>
  </w:style>
  <w:style w:type="paragraph" w:styleId="PlainText">
    <w:name w:val="Plain Text"/>
    <w:basedOn w:val="Normal"/>
    <w:link w:val="PlainTextChar"/>
    <w:uiPriority w:val="99"/>
    <w:semiHidden/>
    <w:unhideWhenUsed/>
    <w:rsid w:val="008C35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5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Margo</dc:creator>
  <cp:lastModifiedBy>Lachowicz, Margo</cp:lastModifiedBy>
  <cp:revision>2</cp:revision>
  <dcterms:created xsi:type="dcterms:W3CDTF">2014-11-08T00:40:00Z</dcterms:created>
  <dcterms:modified xsi:type="dcterms:W3CDTF">2014-11-08T00:40:00Z</dcterms:modified>
</cp:coreProperties>
</file>